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EFEE1" w14:textId="77777777" w:rsidR="00461D40" w:rsidRDefault="00433901">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AIŠKINAMASIS RAŠTAS </w:t>
      </w:r>
    </w:p>
    <w:p w14:paraId="7BBEFEE2" w14:textId="77777777" w:rsidR="00461D40" w:rsidRDefault="00433901">
      <w:pPr>
        <w:tabs>
          <w:tab w:val="left" w:pos="0"/>
        </w:tabs>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7BBEFEE3" w14:textId="77777777" w:rsidR="00461D40" w:rsidRDefault="0043390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
          <w:color w:val="00000A"/>
          <w:sz w:val="24"/>
          <w:szCs w:val="24"/>
          <w:lang w:val="lt-LT"/>
        </w:rPr>
        <w:t>DĖL SKUODO RAJONO SAVIVALDYBĖS TARYBOS 2022 M. GRUODŽIO 22 D. SPRENDIMO NR. T9-223 „</w:t>
      </w:r>
      <w:r>
        <w:rPr>
          <w:rFonts w:ascii="Times New Roman" w:eastAsia="Times New Roman" w:hAnsi="Times New Roman" w:cs="Times New Roman"/>
          <w:b/>
          <w:bCs/>
          <w:color w:val="00000A"/>
          <w:sz w:val="24"/>
          <w:szCs w:val="24"/>
          <w:lang w:val="lt-LT"/>
        </w:rPr>
        <w:t>DĖL PRITARIMO PROJEKTO „APSAUGOTO BŪSTO ĮSIGIJIMAS SKUODO RAJONO SAVIVALDYBĖJE“ RENGIMUI IR FINANSAVIMUI</w:t>
      </w:r>
      <w:r>
        <w:rPr>
          <w:rFonts w:ascii="Times New Roman" w:eastAsia="Times New Roman" w:hAnsi="Times New Roman" w:cs="Times New Roman"/>
          <w:b/>
          <w:color w:val="00000A"/>
          <w:sz w:val="24"/>
          <w:szCs w:val="24"/>
          <w:lang w:val="lt-LT"/>
        </w:rPr>
        <w:t>“ PAKEITIMO</w:t>
      </w:r>
    </w:p>
    <w:p w14:paraId="7BBEFEE4" w14:textId="77777777" w:rsidR="00461D40" w:rsidRDefault="00461D40">
      <w:pPr>
        <w:spacing w:after="0" w:line="240" w:lineRule="auto"/>
        <w:jc w:val="center"/>
        <w:rPr>
          <w:rFonts w:ascii="Times New Roman" w:eastAsia="Times New Roman" w:hAnsi="Times New Roman" w:cs="Times New Roman"/>
          <w:bCs/>
          <w:sz w:val="24"/>
          <w:szCs w:val="24"/>
          <w:lang w:val="lt-LT" w:eastAsia="ja-JP"/>
        </w:rPr>
      </w:pPr>
    </w:p>
    <w:p w14:paraId="7BBEFEE5" w14:textId="42DF680D" w:rsidR="00461D40" w:rsidRDefault="0043390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sausio </w:t>
      </w:r>
      <w:r w:rsidR="00EE1E7A">
        <w:rPr>
          <w:rFonts w:ascii="Times New Roman" w:eastAsia="Times New Roman" w:hAnsi="Times New Roman" w:cs="Times New Roman"/>
          <w:bCs/>
          <w:sz w:val="24"/>
          <w:szCs w:val="24"/>
          <w:lang w:val="lt-LT" w:eastAsia="ja-JP"/>
        </w:rPr>
        <w:t>23</w:t>
      </w:r>
      <w:r>
        <w:rPr>
          <w:rFonts w:ascii="Times New Roman" w:eastAsia="Times New Roman" w:hAnsi="Times New Roman" w:cs="Times New Roman"/>
          <w:bCs/>
          <w:sz w:val="24"/>
          <w:szCs w:val="24"/>
          <w:lang w:val="lt-LT" w:eastAsia="ja-JP"/>
        </w:rPr>
        <w:t xml:space="preserve"> d. </w:t>
      </w:r>
      <w:r w:rsidR="00EE1E7A">
        <w:rPr>
          <w:rFonts w:ascii="Times New Roman" w:eastAsia="Times New Roman" w:hAnsi="Times New Roman" w:cs="Times New Roman"/>
          <w:bCs/>
          <w:sz w:val="24"/>
          <w:szCs w:val="24"/>
          <w:lang w:val="lt-LT" w:eastAsia="ja-JP"/>
        </w:rPr>
        <w:t>Nr. T10-24</w:t>
      </w:r>
    </w:p>
    <w:p w14:paraId="7BBEFEE6" w14:textId="77777777" w:rsidR="00461D40" w:rsidRDefault="0043390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7BBEFEE7" w14:textId="77777777" w:rsidR="00461D40" w:rsidRDefault="00461D40">
      <w:pPr>
        <w:spacing w:after="0" w:line="240" w:lineRule="auto"/>
        <w:rPr>
          <w:rFonts w:ascii="Times New Roman" w:eastAsia="Times New Roman" w:hAnsi="Times New Roman" w:cs="Times New Roman"/>
          <w:bCs/>
          <w:sz w:val="24"/>
          <w:szCs w:val="24"/>
          <w:lang w:val="lt-LT" w:eastAsia="ja-JP"/>
        </w:rPr>
      </w:pPr>
    </w:p>
    <w:p w14:paraId="7BBEFEE8" w14:textId="77777777" w:rsidR="00461D40" w:rsidRDefault="00433901">
      <w:pPr>
        <w:spacing w:after="0" w:line="240" w:lineRule="auto"/>
        <w:ind w:left="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Parengto sprendimo projekto tikslas ir uždaviniai. </w:t>
      </w:r>
    </w:p>
    <w:p w14:paraId="7BBEFEE9" w14:textId="77777777" w:rsidR="00461D40" w:rsidRDefault="00433901">
      <w:pPr>
        <w:spacing w:after="0" w:line="240" w:lineRule="auto"/>
        <w:ind w:firstLine="1276"/>
        <w:contextualSpacing/>
        <w:jc w:val="both"/>
        <w:rPr>
          <w:rFonts w:ascii="TimesNewRomanPSMT" w:hAnsi="TimesNewRomanPSMT" w:cs="TimesNewRomanPSMT"/>
          <w:color w:val="00000A"/>
          <w:sz w:val="24"/>
          <w:szCs w:val="24"/>
          <w:lang w:val="lt-LT"/>
        </w:rPr>
      </w:pPr>
      <w:r>
        <w:rPr>
          <w:rFonts w:ascii="Times New Roman" w:eastAsia="Times New Roman" w:hAnsi="Times New Roman" w:cs="Times New Roman"/>
          <w:sz w:val="24"/>
          <w:szCs w:val="24"/>
          <w:lang w:val="lt-LT"/>
        </w:rPr>
        <w:t>Šiuo sprendimo projektu keičiamas 2022 m. gruodžio 22 d. Skuodo rajono savivaldybės tarybos sprendimas Nr. T9-223 „</w:t>
      </w:r>
      <w:r>
        <w:rPr>
          <w:rFonts w:ascii="Times New Roman" w:eastAsia="Times New Roman" w:hAnsi="Times New Roman" w:cs="Times New Roman"/>
          <w:bCs/>
          <w:sz w:val="24"/>
          <w:szCs w:val="24"/>
          <w:lang w:val="lt-LT"/>
        </w:rPr>
        <w:t>Dėl pritarimo projekto „Apsaugoto būsto įsigijimas Skuodo rajono savivaldybėje“ rengimui ir finansavimui</w:t>
      </w:r>
      <w:r>
        <w:rPr>
          <w:rFonts w:ascii="Times New Roman" w:eastAsia="Times New Roman" w:hAnsi="Times New Roman" w:cs="Times New Roman"/>
          <w:sz w:val="24"/>
          <w:szCs w:val="24"/>
          <w:lang w:val="lt-LT"/>
        </w:rPr>
        <w:t>“ papildant jį 4 punktu:</w:t>
      </w:r>
      <w:r>
        <w:rPr>
          <w:rFonts w:ascii="TimesNewRomanPSMT" w:hAnsi="TimesNewRomanPSMT" w:cs="TimesNewRomanPSMT"/>
          <w:color w:val="00000A"/>
          <w:sz w:val="24"/>
          <w:szCs w:val="24"/>
          <w:lang w:val="lt-LT"/>
        </w:rPr>
        <w:t xml:space="preserve"> „Užtikrinti projekto </w:t>
      </w:r>
      <w:r>
        <w:rPr>
          <w:rFonts w:ascii="TimesNewRomanPSMT" w:hAnsi="TimesNewRomanPSMT" w:cs="TimesNewRomanPSMT"/>
          <w:bCs/>
          <w:color w:val="00000A"/>
          <w:sz w:val="24"/>
          <w:szCs w:val="24"/>
          <w:lang w:val="lt-LT"/>
        </w:rPr>
        <w:t xml:space="preserve">„Apsaugoto būsto įsigijimas Skuodo rajono savivaldybėje“ veiklų (rezultatų) tęstinumą 5 metus po projekto įgyvendinimo pabaigos“. Sprendimas papildomas gavus Centrinės projektų valdymo agentūros (CPVA) raštą dėl Skuodo rajono savivaldybės administracijos pateikto projekto „Apsaugoto būsto įsigijimas Skuodo rajono savivaldybėje“ vertinimo, kuriame nurodoma pateikti Savivaldybės tarybos sprendimą užtikrinti minėto projekto veiklų (rezultatų) tęstinumą 5 metus po projekto įgyvendinimo.     </w:t>
      </w:r>
    </w:p>
    <w:p w14:paraId="7BBEFEEA" w14:textId="77777777" w:rsidR="00461D40" w:rsidRDefault="00461D40">
      <w:pPr>
        <w:spacing w:after="0" w:line="240" w:lineRule="auto"/>
        <w:ind w:firstLine="1276"/>
        <w:contextualSpacing/>
        <w:jc w:val="both"/>
        <w:rPr>
          <w:rFonts w:ascii="Times New Roman" w:eastAsia="Times New Roman" w:hAnsi="Times New Roman" w:cs="Times New Roman"/>
          <w:b/>
          <w:sz w:val="24"/>
          <w:szCs w:val="24"/>
        </w:rPr>
      </w:pPr>
    </w:p>
    <w:p w14:paraId="7BBEFEEB" w14:textId="77777777" w:rsidR="00461D40" w:rsidRDefault="00433901">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lang w:val="lt-LT"/>
        </w:rPr>
        <w:t>. Siūlomos teisinio reguliavimo nuostatos.</w:t>
      </w:r>
    </w:p>
    <w:p w14:paraId="7BBEFEEC" w14:textId="77777777" w:rsidR="00461D40" w:rsidRDefault="00433901">
      <w:pPr>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bCs/>
          <w:sz w:val="24"/>
          <w:szCs w:val="24"/>
          <w:lang w:val="lt-LT"/>
        </w:rPr>
        <w:t xml:space="preserve">Regioninės pažangos priemonės Nr. 09-003-02-02-11 (RE) „Sumažinti pažeidžiamų visuomenės grupių gerovės teritorinius skirtumus“ finansavimo gairėse numatytas reikalavimas užtikrinti projekto investicijų tęstinumą, lakantis Projektų finansavimo ir administravimo taisyklėse nustatytų reikalavimų. Lietuvos Respublikos finansų ministro 2022 m. birželio 22 d. įsakymu Nr. </w:t>
      </w:r>
      <w:r>
        <w:rPr>
          <w:rFonts w:ascii="Times New Roman" w:eastAsia="Times New Roman" w:hAnsi="Times New Roman" w:cs="Times New Roman"/>
          <w:sz w:val="24"/>
          <w:szCs w:val="24"/>
          <w:lang w:val="lt-LT"/>
        </w:rPr>
        <w:t>1K-237 „D</w:t>
      </w:r>
      <w:r>
        <w:rPr>
          <w:rFonts w:ascii="Times New Roman" w:eastAsia="Times New Roman" w:hAnsi="Times New Roman" w:cs="Times New Roman"/>
          <w:bCs/>
          <w:sz w:val="24"/>
          <w:szCs w:val="24"/>
          <w:lang w:val="lt-LT" w:eastAsia="lt-LT"/>
        </w:rPr>
        <w:t>ėl 2021–202 metų Europos Sąjungos fondų investicijų programos ir ekonomikos gaivinimo ir atsparumo didinimo plano „Naujos kartos Lietuva“ įgyvendinimo“ patvirtintose Projekto finansavimo ir administravimo taisyklėse numatyta, kad p</w:t>
      </w:r>
      <w:r>
        <w:rPr>
          <w:rFonts w:ascii="Times New Roman" w:eastAsia="Times New Roman" w:hAnsi="Times New Roman" w:cs="Times New Roman"/>
          <w:sz w:val="24"/>
          <w:szCs w:val="24"/>
          <w:lang w:val="lt-LT"/>
        </w:rPr>
        <w:t xml:space="preserve">o projekto finansavimo pabaigos turi būti užtikrintas investicijų tęstinumas, t. y. iš ES fondų lėšų finansuojamų projektų, kurių veiklos susijusios su investicijomis į infrastruktūrą, vykdytojai per 5 metus nuo projekto finansavimo pabaigos </w:t>
      </w:r>
      <w:r>
        <w:rPr>
          <w:rFonts w:ascii="Times New Roman" w:eastAsia="Times New Roman" w:hAnsi="Times New Roman" w:cs="Times New Roman"/>
          <w:bCs/>
          <w:sz w:val="24"/>
          <w:szCs w:val="24"/>
          <w:lang w:val="lt-LT"/>
        </w:rPr>
        <w:t>n</w:t>
      </w:r>
      <w:r>
        <w:rPr>
          <w:rFonts w:ascii="Times New Roman" w:eastAsia="Times New Roman" w:hAnsi="Times New Roman" w:cs="Times New Roman"/>
          <w:sz w:val="24"/>
          <w:szCs w:val="24"/>
          <w:lang w:val="lt-LT"/>
        </w:rPr>
        <w:t xml:space="preserve">egali pakeisti infrastruktūros objekto </w:t>
      </w:r>
      <w:r>
        <w:rPr>
          <w:rFonts w:ascii="Times New Roman" w:eastAsia="Times New Roman" w:hAnsi="Times New Roman" w:cs="Times New Roman"/>
          <w:bCs/>
          <w:sz w:val="24"/>
          <w:szCs w:val="24"/>
          <w:lang w:val="lt-LT"/>
        </w:rPr>
        <w:t>nuosavybės teisių</w:t>
      </w:r>
      <w:r>
        <w:rPr>
          <w:rFonts w:ascii="Times New Roman" w:eastAsia="Times New Roman" w:hAnsi="Times New Roman" w:cs="Times New Roman"/>
          <w:sz w:val="24"/>
          <w:szCs w:val="24"/>
          <w:lang w:val="lt-LT"/>
        </w:rPr>
        <w:t>, iš esmės pakeisti veiklos, kuriai buvo skirta investicijų,</w:t>
      </w:r>
      <w:r>
        <w:rPr>
          <w:rFonts w:ascii="Times New Roman" w:eastAsia="Times New Roman" w:hAnsi="Times New Roman" w:cs="Times New Roman"/>
          <w:bCs/>
          <w:sz w:val="24"/>
          <w:szCs w:val="24"/>
          <w:lang w:val="lt-LT"/>
        </w:rPr>
        <w:t xml:space="preserve"> pobūdžio, tikslų </w:t>
      </w:r>
      <w:r>
        <w:rPr>
          <w:rFonts w:ascii="Times New Roman" w:eastAsia="Times New Roman" w:hAnsi="Times New Roman" w:cs="Times New Roman"/>
          <w:sz w:val="24"/>
          <w:szCs w:val="24"/>
          <w:lang w:val="lt-LT"/>
        </w:rPr>
        <w:t xml:space="preserve">arba </w:t>
      </w:r>
      <w:r>
        <w:rPr>
          <w:rFonts w:ascii="Times New Roman" w:eastAsia="Times New Roman" w:hAnsi="Times New Roman" w:cs="Times New Roman"/>
          <w:bCs/>
          <w:sz w:val="24"/>
          <w:szCs w:val="24"/>
          <w:lang w:val="lt-LT"/>
        </w:rPr>
        <w:t>vykdymo sąlygų, jei</w:t>
      </w:r>
      <w:r>
        <w:rPr>
          <w:rFonts w:ascii="Times New Roman" w:eastAsia="Times New Roman" w:hAnsi="Times New Roman" w:cs="Times New Roman"/>
          <w:sz w:val="24"/>
          <w:szCs w:val="24"/>
          <w:lang w:val="lt-LT"/>
        </w:rPr>
        <w:t xml:space="preserve"> tai pakenktų projekto tikslams.</w:t>
      </w:r>
    </w:p>
    <w:p w14:paraId="7BBEFEED" w14:textId="77777777" w:rsidR="00461D40" w:rsidRDefault="00433901">
      <w:pPr>
        <w:spacing w:after="0" w:line="240" w:lineRule="auto"/>
        <w:ind w:firstLine="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Laukiami rezultatai.</w:t>
      </w:r>
    </w:p>
    <w:p w14:paraId="7BBEFEEE" w14:textId="77777777" w:rsidR="00461D40" w:rsidRDefault="00433901">
      <w:pPr>
        <w:spacing w:after="0" w:line="240" w:lineRule="auto"/>
        <w:ind w:firstLine="127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Pakeitus sprendimo projektą bus įgyvendintas projekto </w:t>
      </w:r>
      <w:r>
        <w:rPr>
          <w:rFonts w:ascii="Times New Roman" w:eastAsia="Times New Roman" w:hAnsi="Times New Roman" w:cs="Times New Roman"/>
          <w:bCs/>
          <w:sz w:val="24"/>
          <w:szCs w:val="24"/>
          <w:lang w:val="lt-LT"/>
        </w:rPr>
        <w:t>„Apsaugoto būsto įsigijimas Skuodo rajono savivaldybėje“</w:t>
      </w:r>
      <w:r>
        <w:rPr>
          <w:rFonts w:ascii="Times New Roman" w:eastAsia="Times New Roman" w:hAnsi="Times New Roman" w:cs="Times New Roman"/>
          <w:sz w:val="24"/>
          <w:szCs w:val="24"/>
        </w:rPr>
        <w:t>, pateikto ES fondų finanasvimui gauti, atitikties reikalavimas dėl projekto veiklų (rezultatų) tęstinumo užtikrinimo 5 metus po projekto įgyvendinimo.</w:t>
      </w:r>
    </w:p>
    <w:p w14:paraId="7BBEFEEF" w14:textId="77777777" w:rsidR="00461D40" w:rsidRDefault="00433901">
      <w:pPr>
        <w:spacing w:after="0" w:line="240" w:lineRule="auto"/>
        <w:ind w:firstLine="127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BBEFEF0" w14:textId="77777777" w:rsidR="00461D40" w:rsidRDefault="00433901">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lang w:val="lt-LT"/>
        </w:rPr>
        <w:t>Lėšų poreikis sprendimui įgyvendinti ir jų šaltiniai.</w:t>
      </w:r>
    </w:p>
    <w:p w14:paraId="7BBEFEF1" w14:textId="77777777" w:rsidR="00461D40" w:rsidRDefault="00433901">
      <w:pPr>
        <w:spacing w:after="0" w:line="240" w:lineRule="auto"/>
        <w:ind w:firstLine="1276"/>
        <w:jc w:val="both"/>
        <w:rPr>
          <w:rFonts w:ascii="Times New Roman" w:eastAsia="Times New Roman" w:hAnsi="Times New Roman" w:cs="Times New Roman"/>
          <w:iCs/>
          <w:sz w:val="24"/>
          <w:szCs w:val="24"/>
          <w:lang w:val="lt-LT"/>
        </w:rPr>
      </w:pPr>
      <w:r>
        <w:rPr>
          <w:rFonts w:ascii="Times New Roman" w:eastAsia="Times New Roman" w:hAnsi="Times New Roman" w:cs="Times New Roman"/>
          <w:sz w:val="24"/>
          <w:szCs w:val="24"/>
          <w:lang w:val="lt-LT"/>
        </w:rPr>
        <w:t>Sprendimui įgyvendinti lėšos nereikalingos.</w:t>
      </w:r>
    </w:p>
    <w:p w14:paraId="7BBEFEF2" w14:textId="77777777" w:rsidR="00461D40" w:rsidRDefault="00461D40">
      <w:pPr>
        <w:spacing w:after="0" w:line="240" w:lineRule="auto"/>
        <w:ind w:firstLine="1276"/>
        <w:jc w:val="both"/>
        <w:rPr>
          <w:rFonts w:ascii="Times New Roman" w:eastAsia="Times New Roman" w:hAnsi="Times New Roman" w:cs="Times New Roman"/>
          <w:b/>
          <w:sz w:val="24"/>
          <w:szCs w:val="24"/>
          <w:lang w:val="lt-LT"/>
        </w:rPr>
      </w:pPr>
    </w:p>
    <w:p w14:paraId="7BBEFEF3" w14:textId="77777777" w:rsidR="00461D40" w:rsidRDefault="00433901">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7BBEFEF4" w14:textId="77777777" w:rsidR="00461D40" w:rsidRDefault="00433901">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Pranešėjas – Statybos, investicijų ir turto valymo skyriaus vedėjas Vygintas Pitrėnas. </w:t>
      </w:r>
    </w:p>
    <w:p w14:paraId="7BBEFEF5" w14:textId="77777777" w:rsidR="00461D40" w:rsidRDefault="00433901">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Statybos, investicijų ir turto valymo skyriaus vedėjo pavaduotoja Rasa Andriekienė. </w:t>
      </w:r>
    </w:p>
    <w:p w14:paraId="7BBEFEF6" w14:textId="77777777" w:rsidR="00461D40" w:rsidRDefault="00461D40">
      <w:pPr>
        <w:spacing w:after="0" w:line="240" w:lineRule="auto"/>
        <w:ind w:firstLine="1276"/>
        <w:jc w:val="both"/>
      </w:pPr>
    </w:p>
    <w:sectPr w:rsidR="00461D40">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EFCBC" w14:textId="77777777" w:rsidR="004E495C" w:rsidRDefault="004E495C">
      <w:pPr>
        <w:spacing w:after="0" w:line="240" w:lineRule="auto"/>
      </w:pPr>
      <w:r>
        <w:separator/>
      </w:r>
    </w:p>
  </w:endnote>
  <w:endnote w:type="continuationSeparator" w:id="0">
    <w:p w14:paraId="6940F76A" w14:textId="77777777" w:rsidR="004E495C" w:rsidRDefault="004E4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BB85D" w14:textId="77777777" w:rsidR="004E495C" w:rsidRDefault="004E495C">
      <w:pPr>
        <w:spacing w:after="0" w:line="240" w:lineRule="auto"/>
      </w:pPr>
      <w:r>
        <w:separator/>
      </w:r>
    </w:p>
  </w:footnote>
  <w:footnote w:type="continuationSeparator" w:id="0">
    <w:p w14:paraId="12F02048" w14:textId="77777777" w:rsidR="004E495C" w:rsidRDefault="004E49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EFEFB" w14:textId="77777777" w:rsidR="00461D40" w:rsidRDefault="00461D40">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F04AC"/>
    <w:multiLevelType w:val="hybridMultilevel"/>
    <w:tmpl w:val="D478970C"/>
    <w:lvl w:ilvl="0" w:tplc="33AA5728">
      <w:start w:val="1"/>
      <w:numFmt w:val="decimal"/>
      <w:lvlText w:val="%1."/>
      <w:lvlJc w:val="left"/>
      <w:pPr>
        <w:ind w:left="1211" w:hanging="360"/>
      </w:pPr>
      <w:rPr>
        <w:rFonts w:hint="default"/>
      </w:rPr>
    </w:lvl>
    <w:lvl w:ilvl="1" w:tplc="097AD09C">
      <w:start w:val="1"/>
      <w:numFmt w:val="lowerLetter"/>
      <w:lvlText w:val="%2."/>
      <w:lvlJc w:val="left"/>
      <w:pPr>
        <w:ind w:left="1931" w:hanging="360"/>
      </w:pPr>
    </w:lvl>
    <w:lvl w:ilvl="2" w:tplc="8A427720">
      <w:start w:val="1"/>
      <w:numFmt w:val="lowerRoman"/>
      <w:lvlText w:val="%3."/>
      <w:lvlJc w:val="right"/>
      <w:pPr>
        <w:ind w:left="2651" w:hanging="180"/>
      </w:pPr>
    </w:lvl>
    <w:lvl w:ilvl="3" w:tplc="ACBC5CA2">
      <w:start w:val="1"/>
      <w:numFmt w:val="decimal"/>
      <w:lvlText w:val="%4."/>
      <w:lvlJc w:val="left"/>
      <w:pPr>
        <w:ind w:left="3371" w:hanging="360"/>
      </w:pPr>
    </w:lvl>
    <w:lvl w:ilvl="4" w:tplc="302A2B2C">
      <w:start w:val="1"/>
      <w:numFmt w:val="lowerLetter"/>
      <w:lvlText w:val="%5."/>
      <w:lvlJc w:val="left"/>
      <w:pPr>
        <w:ind w:left="4091" w:hanging="360"/>
      </w:pPr>
    </w:lvl>
    <w:lvl w:ilvl="5" w:tplc="89168010">
      <w:start w:val="1"/>
      <w:numFmt w:val="lowerRoman"/>
      <w:lvlText w:val="%6."/>
      <w:lvlJc w:val="right"/>
      <w:pPr>
        <w:ind w:left="4811" w:hanging="180"/>
      </w:pPr>
    </w:lvl>
    <w:lvl w:ilvl="6" w:tplc="4B067F5A">
      <w:start w:val="1"/>
      <w:numFmt w:val="decimal"/>
      <w:lvlText w:val="%7."/>
      <w:lvlJc w:val="left"/>
      <w:pPr>
        <w:ind w:left="5531" w:hanging="360"/>
      </w:pPr>
    </w:lvl>
    <w:lvl w:ilvl="7" w:tplc="265274B6">
      <w:start w:val="1"/>
      <w:numFmt w:val="lowerLetter"/>
      <w:lvlText w:val="%8."/>
      <w:lvlJc w:val="left"/>
      <w:pPr>
        <w:ind w:left="6251" w:hanging="360"/>
      </w:pPr>
    </w:lvl>
    <w:lvl w:ilvl="8" w:tplc="D286FF10">
      <w:start w:val="1"/>
      <w:numFmt w:val="lowerRoman"/>
      <w:lvlText w:val="%9."/>
      <w:lvlJc w:val="right"/>
      <w:pPr>
        <w:ind w:left="6971" w:hanging="180"/>
      </w:pPr>
    </w:lvl>
  </w:abstractNum>
  <w:num w:numId="1" w16cid:durableId="1210993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40"/>
    <w:rsid w:val="001E0697"/>
    <w:rsid w:val="00344342"/>
    <w:rsid w:val="00433901"/>
    <w:rsid w:val="00461D40"/>
    <w:rsid w:val="004E495C"/>
    <w:rsid w:val="00EE1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EFEE1"/>
  <w15:docId w15:val="{98869DEB-868A-442E-A015-E313F993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paragraph" w:styleId="Porat">
    <w:name w:val="footer"/>
    <w:basedOn w:val="prastasis"/>
    <w:link w:val="PoratDiagrama"/>
    <w:uiPriority w:val="99"/>
    <w:unhideWhenUsed/>
    <w:pPr>
      <w:tabs>
        <w:tab w:val="center" w:pos="7143"/>
        <w:tab w:val="right" w:pos="14287"/>
      </w:tabs>
      <w:spacing w:after="0" w:line="240" w:lineRule="auto"/>
    </w:pPr>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PoratDiagrama">
    <w:name w:val="Poraštė Diagrama"/>
    <w:link w:val="Porat"/>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semiHidden/>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character" w:styleId="Hipersaitas">
    <w:name w:val="Hyperlink"/>
    <w:basedOn w:val="Numatytasispastraiposriftas"/>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E61A9-FB86-42A7-9BC8-0EDF62435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1815</Words>
  <Characters>1036</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2025-01-24T13:15:00Z</dcterms:created>
  <dcterms:modified xsi:type="dcterms:W3CDTF">2025-01-24T13:16:00Z</dcterms:modified>
</cp:coreProperties>
</file>